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23" w:lineRule="auto"/>
        <w:ind w:right="0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2"/>
          <w:szCs w:val="32"/>
          <w:lang w:val="en-US" w:eastAsia="zh-CN"/>
        </w:rPr>
        <w:t>金融工程专业介绍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河海大学金融教育最早可追溯至学校成立之初，以经济管理、簿记学等课程传授早期先进的金融理论与实务知识。金融是现代经济的核心，改革开放以来国家金融领域持续深化改革，河海大学先后成立技术经济学院、国际工商学院，打造经济金融专业人才的培养高地。党的十八大以来，中央要求坚定不移走好特色金融发展之路，持续推动金融高质量发展。2020年获教育部审批成立金融工程专业，积极响应国家重大金融需求的同时，有效匹配社会人才需求。坚持国家专业规范要求，突出河海特色，将金融理论与工程实践相结合，重点关注水利行业特色金融问题，推动金融工程与水利工程、环境工程、土木工程等优势学科的交叉融合，力争办成“国际化、高层次、入主流、有特色”的内涵型专业。重点培养学生创造性解决金融实务问题的能力，能够设计、开发、综合运用各种金融工具，开展金融风险管理、公司理财、投资战略规划、金融产品定价研究，能为金融机构、大型企业和政府部门的基本金融业务、复杂金融问题提供专业支持。毕业生主要就业领域集中在中外资商业银行、证券投资公司、信托投资公司、保险公司、其他金融机构、企事业单位和政府机关的投资管理部门等，主要从事投融资分析、量化投资、金融服务、衍生品定价模型的建立和应用、模型验证、模型研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究、程序开发和风险管理等。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jA3MWEzYTAyZDQ5ZjNjODMyYjM0MjA1N2FjMTEifQ=="/>
  </w:docVars>
  <w:rsids>
    <w:rsidRoot w:val="00000000"/>
    <w:rsid w:val="1A8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2024-04-17T08:48:53Z</dcterms:created>
  <dc:creator>jwv</dc:creator>
  <cp:lastModifiedBy>小猪胖胖</cp:lastModifiedBy>
  <dcterms:modified xsi:type="dcterms:W3CDTF">2024-04-17T08:50:58Z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52EB5F1C06924B87BE15E98D2A8FD911_12</vt:lpwstr>
  </property>
</Properties>
</file>