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jc w:val="center"/>
        <w:textAlignment w:val="auto"/>
        <w:rPr>
          <w:rFonts w:hint="eastAsia" w:ascii="微软雅黑" w:hAnsi="微软雅黑" w:eastAsia="微软雅黑" w:cs="微软雅黑"/>
          <w:b/>
          <w:bCs/>
          <w:color w:val="333333"/>
          <w:sz w:val="28"/>
          <w:szCs w:val="28"/>
          <w:bdr w:val="none" w:color="auto" w:sz="0" w:space="0"/>
          <w:lang w:val="en-US" w:eastAsia="zh-CN"/>
        </w:rPr>
      </w:pPr>
      <w:r>
        <w:rPr>
          <w:rFonts w:hint="eastAsia" w:ascii="微软雅黑" w:hAnsi="微软雅黑" w:eastAsia="微软雅黑" w:cs="微软雅黑"/>
          <w:b/>
          <w:bCs/>
          <w:color w:val="333333"/>
          <w:sz w:val="28"/>
          <w:szCs w:val="28"/>
          <w:bdr w:val="none" w:color="auto" w:sz="0" w:space="0"/>
          <w:lang w:val="en-US" w:eastAsia="zh-CN"/>
        </w:rPr>
        <w:t>会计学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会计学专业源于1915年河海工程专门学校薄记学等商科课程，1985年设财务与会计专科，1991年设会计学本科，2003年获会计学硕士点，2010年获MPAcc硕士点和工商管理博士点。目前已经在人才培养方面形成了“知识、素养和能力复合培养”以及“教、学、研相长”的显著特色。</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会计学专业定位是以习近平新时代中国特色社会主义思想为指导，坚持面向国家重大需求，协同融合水利工程、环境科学与工程一流学科优势，培养德智体美劳全面发展的创新型高级会计人才，建成具有绿色发展理念的国内一流、国际知名会计学专业。课程设置面向国家重大需求，依据会计学专业的国标要求全面开设专业相关的经典课程。同时，注重现有课程的数字化转型，添加智能化和水特色，增设如Python、大数据分析与应用、人工智能概论、水利行业会计与财务管理等课程。新开设文理交叉课程、项目式课程、国际化课程、荣誉课程和本硕贯通式课程等多种形式的课程，丰富现有的课程体系，依据分类培养的要求满足学生不同层次的学习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会计学专业2020年入选国家一流本科专业建设点。2021年入选江苏省品牌专业建设工程，所属工商管理大类在教育部第4轮学科评估中为B+，在2023年软科中国大学专业排名中位列36。目前，本专业师资包括校级优秀主讲教师2人、校外讲课竞赛一等奖1人、河海大学“我最喜爱的老师”2人、美国管理会计师协会IMA管理会计案例大赛优秀教师2人、中国MBA杰出教授1人、财政部国际化高端会计人才1名、江苏省“333高层次人才培养工程”培养对象1人等。同时，本专业教师承担多项国家自然科学基金和国家社会科学基金项目研究，承担教育部协同育人项目6项，获得大禹科学技术奖、江苏省哲学社会科学优秀成果一等奖、江苏省教学成果二等奖各1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pPr>
      <w:r>
        <w:rPr>
          <w:rFonts w:hint="eastAsia" w:ascii="宋体" w:hAnsi="宋体" w:eastAsia="宋体" w:cs="宋体"/>
          <w:color w:val="333333"/>
          <w:sz w:val="28"/>
          <w:szCs w:val="28"/>
          <w:bdr w:val="none" w:color="auto" w:sz="0" w:space="0"/>
        </w:rPr>
        <w:t>近年来，学生的毕业率和学位授予率均保持在98%左右。本科生继续深造率较高，2023年为40%左右。升学的学校包括南京大学、浙江大学、同济大学、上海财经大学、河海大学、香港大学、香港中文大学、约翰霍普金斯大学、伦敦国王学院、悉尼大学等知名学府。本专业学生毕业后能够在工商企业、咨询中介企业、金融企业和行政事业单位等胜任会计核算、财务管理、税收筹划、内部控制与公司治理、注册会计师审计等工作，具备会计师或与之相当的专业技术能力。往届毕业生就业去向主要分布在金融、证券、咨询、行政部门、事业单位、制造业和零售业公司等。就业单位包括腾讯科技、小米科技、阿里巴巴、华为、中兴通讯、浪潮集团、工商银行、中国银行、招商银行、中国建设银行、地方税务局、省市选调生、国家邮政局、各类设计院、中建科工、中交四航局、国际四大和国内八大会计师事务所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jA3MWEzYTAyZDQ5ZjNjODMyYjM0MjA1N2FjMTEifQ=="/>
  </w:docVars>
  <w:rsids>
    <w:rsidRoot w:val="00000000"/>
    <w:rsid w:val="2CF3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2024-03-29T06:55:48Z</dcterms:created>
  <dc:creator>jwv</dc:creator>
  <cp:lastModifiedBy>小猪胖胖</cp:lastModifiedBy>
  <dcterms:modified xsi:type="dcterms:W3CDTF">2024-03-29T06:57:15Z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21CC0EC92E0540F4A0D022521C4B60B9_12</vt:lpwstr>
  </property>
</Properties>
</file>